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7" w:rsidRPr="00020740" w:rsidRDefault="000B5CD7" w:rsidP="000B5C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Особенности работы  при  усвоении математических  </w:t>
      </w:r>
      <w:r w:rsidRPr="00020740">
        <w:rPr>
          <w:rFonts w:ascii="Times New Roman" w:hAnsi="Times New Roman" w:cs="Times New Roman"/>
          <w:b/>
          <w:sz w:val="36"/>
          <w:szCs w:val="36"/>
        </w:rPr>
        <w:t>знаний, умений и навыков умственно-отсталыми школьниками</w:t>
      </w:r>
      <w:proofErr w:type="gramStart"/>
      <w:r w:rsidRPr="00020740">
        <w:rPr>
          <w:rFonts w:ascii="Times New Roman" w:hAnsi="Times New Roman" w:cs="Times New Roman"/>
          <w:b/>
          <w:sz w:val="36"/>
          <w:szCs w:val="36"/>
        </w:rPr>
        <w:t>.</w:t>
      </w:r>
      <w:r w:rsidR="002C206A"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 w:rsidR="002C206A">
        <w:rPr>
          <w:rFonts w:ascii="Times New Roman" w:hAnsi="Times New Roman" w:cs="Times New Roman"/>
          <w:b/>
          <w:sz w:val="36"/>
          <w:szCs w:val="36"/>
        </w:rPr>
        <w:t xml:space="preserve">Из опыта работы </w:t>
      </w:r>
      <w:proofErr w:type="spellStart"/>
      <w:r w:rsidR="002C206A">
        <w:rPr>
          <w:rFonts w:ascii="Times New Roman" w:hAnsi="Times New Roman" w:cs="Times New Roman"/>
          <w:b/>
          <w:sz w:val="36"/>
          <w:szCs w:val="36"/>
        </w:rPr>
        <w:t>Абраменко</w:t>
      </w:r>
      <w:proofErr w:type="spellEnd"/>
      <w:r w:rsidR="002C206A">
        <w:rPr>
          <w:rFonts w:ascii="Times New Roman" w:hAnsi="Times New Roman" w:cs="Times New Roman"/>
          <w:b/>
          <w:sz w:val="36"/>
          <w:szCs w:val="36"/>
        </w:rPr>
        <w:t xml:space="preserve"> Л.А.)</w:t>
      </w:r>
    </w:p>
    <w:p w:rsidR="00BE4213" w:rsidRDefault="00BE4213" w:rsidP="00BE4213">
      <w:pPr>
        <w:rPr>
          <w:rFonts w:ascii="Times New Roman" w:hAnsi="Times New Roman" w:cs="Times New Roman"/>
          <w:sz w:val="32"/>
          <w:szCs w:val="32"/>
        </w:rPr>
      </w:pPr>
      <w:r w:rsidRPr="00706BDF">
        <w:rPr>
          <w:rFonts w:ascii="Times New Roman" w:hAnsi="Times New Roman" w:cs="Times New Roman"/>
          <w:sz w:val="32"/>
          <w:szCs w:val="32"/>
        </w:rPr>
        <w:t>В современной педагогической практике уже невозможно грамотно, эффективно и на уровне современных культурных требований строить свою деятельность без интенсивного внедрения научных психологических знаний. Профессия педагога, вероятно, наиболее чувствительна к психологии, поскольку деятельность педагога непосредственно направлена на человека, на его развитие. Педагог в своей деятельности встречает «живую» психологию, сопротивление индивида педагогическим воздействиям, значение индивидуальных особенностей человека и т. п. Педагогическая психология изучает условия и закономерности формирования психических новообразований под воздействием образования и обучения.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Раскрывая психофизические особенности детей с нарушением интеллекта, необходимо выделить то, что особенности психики таких детей проявляются как в недоразвитии основных психических процессов (памяти, внимания, мышления и др.), так и в особенностях высшей нервной деятельности.</w:t>
      </w:r>
    </w:p>
    <w:p w:rsidR="00BE4213" w:rsidRPr="00BE4213" w:rsidRDefault="00BE4213" w:rsidP="00A2448D">
      <w:pPr>
        <w:pStyle w:val="a3"/>
        <w:rPr>
          <w:sz w:val="32"/>
          <w:szCs w:val="32"/>
        </w:rPr>
      </w:pPr>
      <w:r w:rsidRPr="00BE4213">
        <w:rPr>
          <w:sz w:val="32"/>
          <w:szCs w:val="32"/>
        </w:rPr>
        <w:t>Особое значение приобретает знание педагогом механизмов протекания основных психических процессов (восприятие, внимание, память, мышление) у школьника. Только такие знания позволят не только диагностировать уровень их развития на разных этапах образовательного маршрута, но скорректировать его траекторию, целенаправленно осуществлять развитие учащегося.</w:t>
      </w:r>
    </w:p>
    <w:p w:rsidR="00A2448D" w:rsidRDefault="00A2448D" w:rsidP="00A2448D">
      <w:pPr>
        <w:pStyle w:val="a3"/>
      </w:pPr>
      <w:r w:rsidRPr="00A2448D">
        <w:rPr>
          <w:sz w:val="32"/>
          <w:szCs w:val="32"/>
        </w:rPr>
        <w:t xml:space="preserve">Дети, у которых ослаблен процесс возбуждения - вялы, медлительны, плохо усваивают всё новое, учатся с трудом, </w:t>
      </w:r>
      <w:proofErr w:type="gramStart"/>
      <w:r w:rsidRPr="00A2448D">
        <w:rPr>
          <w:sz w:val="32"/>
          <w:szCs w:val="32"/>
        </w:rPr>
        <w:t>но</w:t>
      </w:r>
      <w:proofErr w:type="gramEnd"/>
      <w:r w:rsidRPr="00A2448D">
        <w:rPr>
          <w:sz w:val="32"/>
          <w:szCs w:val="32"/>
        </w:rPr>
        <w:t xml:space="preserve"> в конечном счёте добиваются удовлетворительных результатов. Новые навыки и умения формируются у таких детей</w:t>
      </w:r>
      <w:r>
        <w:rPr>
          <w:sz w:val="32"/>
          <w:szCs w:val="32"/>
        </w:rPr>
        <w:t xml:space="preserve"> медленно</w:t>
      </w:r>
      <w:r w:rsidRPr="00A2448D">
        <w:rPr>
          <w:sz w:val="32"/>
          <w:szCs w:val="32"/>
        </w:rPr>
        <w:t>. У этих детей мало инициативы, самостоятельности</w:t>
      </w:r>
      <w:r>
        <w:t>.</w:t>
      </w:r>
    </w:p>
    <w:p w:rsidR="00B225B6" w:rsidRDefault="00A2448D">
      <w:r w:rsidRPr="00A2448D">
        <w:rPr>
          <w:rFonts w:ascii="Times New Roman" w:hAnsi="Times New Roman" w:cs="Times New Roman"/>
          <w:sz w:val="32"/>
          <w:szCs w:val="32"/>
        </w:rPr>
        <w:t xml:space="preserve">Учащиеся с нарушением интеллекта быстро утомляются, работоспособность их падает, а иногда они просто перестают </w:t>
      </w:r>
      <w:r w:rsidRPr="00A2448D">
        <w:rPr>
          <w:rFonts w:ascii="Times New Roman" w:hAnsi="Times New Roman" w:cs="Times New Roman"/>
          <w:sz w:val="32"/>
          <w:szCs w:val="32"/>
        </w:rPr>
        <w:lastRenderedPageBreak/>
        <w:t>выполнять начатую деятельность. Эти и ряд других особенностей говорят о том, что у детей группы обнаруживается недоразвитие психических процессов</w:t>
      </w:r>
      <w:r>
        <w:t>.</w:t>
      </w:r>
    </w:p>
    <w:p w:rsidR="00A2448D" w:rsidRDefault="00A2448D">
      <w:pPr>
        <w:rPr>
          <w:rFonts w:ascii="Times New Roman" w:hAnsi="Times New Roman" w:cs="Times New Roman"/>
          <w:sz w:val="32"/>
          <w:szCs w:val="32"/>
        </w:rPr>
      </w:pPr>
      <w:r w:rsidRPr="00A2448D">
        <w:rPr>
          <w:rFonts w:ascii="Times New Roman" w:hAnsi="Times New Roman" w:cs="Times New Roman"/>
          <w:sz w:val="32"/>
          <w:szCs w:val="32"/>
        </w:rPr>
        <w:t>У детей наблюдается сравнительно низкий уровень развития восприятие. Об этом свидетельствует, прежде всего, недостаточность, ограниченность, фрагментарность знаний детей об окружающем мире. Это обусловлено бедностью опыта ребёнка. Работая с такими детьми, учителя должны считаться с тем, что передаваемая им информация далеко не всегда достигает цели. Все сообщаемые детям сведения нужно неоднократно повторять.</w:t>
      </w:r>
    </w:p>
    <w:p w:rsidR="003C7609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 xml:space="preserve">Таким </w:t>
      </w:r>
      <w:r w:rsidR="003C7609">
        <w:rPr>
          <w:sz w:val="32"/>
          <w:szCs w:val="32"/>
        </w:rPr>
        <w:t xml:space="preserve">образом, коррекционная работа </w:t>
      </w:r>
      <w:r w:rsidRPr="00A2448D">
        <w:rPr>
          <w:sz w:val="32"/>
          <w:szCs w:val="32"/>
        </w:rPr>
        <w:t xml:space="preserve">должна вестись в следующих направлениях: </w:t>
      </w:r>
    </w:p>
    <w:p w:rsidR="003C7609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а) осуществлять индивидуальный подход к детям;</w:t>
      </w:r>
    </w:p>
    <w:p w:rsidR="003C7609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 xml:space="preserve"> б) предотвращать наступление утомления; </w:t>
      </w:r>
    </w:p>
    <w:p w:rsidR="003C7609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в) в процессе обучения следует использовать те методы, с помощью которых можно максимально активизировать познавательную деятельность детей;</w:t>
      </w:r>
    </w:p>
    <w:p w:rsidR="003C7609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 xml:space="preserve"> г) во время работы с детьми этой категории учитель должен проявлять особый педагогический такт. Важно подмечать и поощрять успехи детей, помогать каждому ребёнка, развивать в нём веру в собственные силы и возможности;</w:t>
      </w:r>
    </w:p>
    <w:p w:rsid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 xml:space="preserve"> </w:t>
      </w:r>
      <w:proofErr w:type="spellStart"/>
      <w:r w:rsidRPr="00A2448D">
        <w:rPr>
          <w:sz w:val="32"/>
          <w:szCs w:val="32"/>
        </w:rPr>
        <w:t>д</w:t>
      </w:r>
      <w:proofErr w:type="spellEnd"/>
      <w:r w:rsidRPr="00A2448D">
        <w:rPr>
          <w:sz w:val="32"/>
          <w:szCs w:val="32"/>
        </w:rPr>
        <w:t>) обеспечить обогащения детей математическими знаниями об (используя развивающие игры, упражнения с конкретными примерами и т. д.).</w:t>
      </w:r>
    </w:p>
    <w:p w:rsidR="00E1258A" w:rsidRPr="00E1258A" w:rsidRDefault="00E1258A" w:rsidP="00E1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8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 своей работе применяю различные педагогические технологии:</w:t>
      </w:r>
    </w:p>
    <w:p w:rsidR="00E1258A" w:rsidRPr="00E1258A" w:rsidRDefault="00E1258A" w:rsidP="00E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8A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устный счет</w:t>
      </w:r>
    </w:p>
    <w:p w:rsidR="00E1258A" w:rsidRPr="00E1258A" w:rsidRDefault="00E1258A" w:rsidP="00E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8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дифференцированный подход</w:t>
      </w:r>
    </w:p>
    <w:p w:rsidR="00E1258A" w:rsidRPr="00E1258A" w:rsidRDefault="00E1258A" w:rsidP="00E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8A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игровые технологии</w:t>
      </w:r>
    </w:p>
    <w:p w:rsidR="00E1258A" w:rsidRPr="00E1258A" w:rsidRDefault="00E1258A" w:rsidP="00E12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258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технологии контроля и оценки знаний</w:t>
      </w:r>
    </w:p>
    <w:p w:rsidR="00A2448D" w:rsidRDefault="00A2448D" w:rsidP="0057030C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lastRenderedPageBreak/>
        <w:t xml:space="preserve">Формирование вычислительных навыков - трудоемкое и порой скучная для учащихся работа, если не вноситься разнообразие в ее организацию. Один из приемов детей, следующий: в предлагаемых заданиях даны словесные формулировки познавательных вопросов, а также возможные варианты ответов, один из которых правильный. Учащиеся должны выбрать правильный ответ. Для этого им необходимо выполнить математические задания, например, вычисления </w:t>
      </w:r>
    </w:p>
    <w:p w:rsidR="00E95551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Опытный учитель знает, как важно, чтобы урок с самого начала</w:t>
      </w:r>
      <w:r w:rsidRPr="00A2448D">
        <w:rPr>
          <w:sz w:val="32"/>
          <w:szCs w:val="32"/>
        </w:rPr>
        <w:br/>
        <w:t>«</w:t>
      </w:r>
      <w:proofErr w:type="gramStart"/>
      <w:r w:rsidRPr="00A2448D">
        <w:rPr>
          <w:sz w:val="32"/>
          <w:szCs w:val="32"/>
        </w:rPr>
        <w:t>заладился</w:t>
      </w:r>
      <w:proofErr w:type="gramEnd"/>
      <w:r w:rsidRPr="00A2448D">
        <w:rPr>
          <w:sz w:val="32"/>
          <w:szCs w:val="32"/>
        </w:rPr>
        <w:t>». Если хорошо проведен устный счет, с известной долей уверенности можно сказать, чт</w:t>
      </w:r>
      <w:r w:rsidR="0057030C">
        <w:rPr>
          <w:sz w:val="32"/>
          <w:szCs w:val="32"/>
        </w:rPr>
        <w:t>о ребята будут активны. Задания,</w:t>
      </w:r>
      <w:r w:rsidR="00074C39">
        <w:rPr>
          <w:sz w:val="32"/>
          <w:szCs w:val="32"/>
        </w:rPr>
        <w:t xml:space="preserve"> </w:t>
      </w:r>
      <w:r w:rsidRPr="00A2448D">
        <w:rPr>
          <w:sz w:val="32"/>
          <w:szCs w:val="32"/>
        </w:rPr>
        <w:t xml:space="preserve">подобранные с расчетом пробудить у учащихся интерес, сыграют свою роль - подготовят детей к восприятию нового материала, к решению предложенных упражнений. </w:t>
      </w:r>
    </w:p>
    <w:p w:rsidR="00A2448D" w:rsidRPr="00A2448D" w:rsidRDefault="00E95551" w:rsidP="00A2448D">
      <w:pPr>
        <w:pStyle w:val="a3"/>
        <w:rPr>
          <w:sz w:val="32"/>
          <w:szCs w:val="32"/>
        </w:rPr>
      </w:pPr>
      <w:r>
        <w:rPr>
          <w:sz w:val="32"/>
          <w:szCs w:val="32"/>
        </w:rPr>
        <w:t>1.</w:t>
      </w:r>
      <w:r w:rsidR="00A2448D" w:rsidRPr="00A2448D">
        <w:rPr>
          <w:sz w:val="32"/>
          <w:szCs w:val="32"/>
        </w:rPr>
        <w:t xml:space="preserve">Одним из путей осуществления индивидуального подхода в изучении математики является метод беседы. 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Рассмотрим использование беседы на этапе устного счета. Прием постановки вопросов в определенной логической последовательности здесь не играет особой роли. Цель беседы на данном этапе - закрепить математические понятия у ребенка, совершенствовать навыки устных вычислений. Вопросы обычно н</w:t>
      </w:r>
      <w:r w:rsidR="003C7609">
        <w:rPr>
          <w:sz w:val="32"/>
          <w:szCs w:val="32"/>
        </w:rPr>
        <w:t>осят репродуктивный характер</w:t>
      </w:r>
      <w:proofErr w:type="gramStart"/>
      <w:r w:rsidR="003C7609">
        <w:rPr>
          <w:sz w:val="32"/>
          <w:szCs w:val="32"/>
        </w:rPr>
        <w:t xml:space="preserve"> </w:t>
      </w:r>
      <w:r w:rsidRPr="00A2448D">
        <w:rPr>
          <w:sz w:val="32"/>
          <w:szCs w:val="32"/>
        </w:rPr>
        <w:t>.</w:t>
      </w:r>
      <w:proofErr w:type="gramEnd"/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Привед</w:t>
      </w:r>
      <w:r w:rsidR="00074C39">
        <w:rPr>
          <w:sz w:val="32"/>
          <w:szCs w:val="32"/>
        </w:rPr>
        <w:t xml:space="preserve">у </w:t>
      </w:r>
      <w:r w:rsidRPr="00A2448D">
        <w:rPr>
          <w:sz w:val="32"/>
          <w:szCs w:val="32"/>
        </w:rPr>
        <w:t>пример беседы, которая наиболее часто встречается в практике обучения.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Учитель предлагает: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. Найди сумму чисел 80 и 7.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. Увеличь 53 на 4.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. К какому числу надо прибавить 20, чтобы получить 28?</w:t>
      </w:r>
    </w:p>
    <w:p w:rsidR="00A2448D" w:rsidRPr="00A2448D" w:rsidRDefault="00A2448D" w:rsidP="00074C39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 xml:space="preserve">Если учитель ограничивается продумыванием только содержания предлагаемых вопросов, то активность ребенка, как показывает практика, снижается. Поэтому на этапе устного счета </w:t>
      </w:r>
      <w:r w:rsidR="00074C39">
        <w:rPr>
          <w:sz w:val="32"/>
          <w:szCs w:val="32"/>
        </w:rPr>
        <w:t xml:space="preserve"> я использую </w:t>
      </w:r>
      <w:r w:rsidRPr="00A2448D">
        <w:rPr>
          <w:sz w:val="32"/>
          <w:szCs w:val="32"/>
        </w:rPr>
        <w:t xml:space="preserve"> демонстрационных карточек.</w:t>
      </w:r>
    </w:p>
    <w:p w:rsidR="00A2448D" w:rsidRPr="00A2448D" w:rsidRDefault="00074C39" w:rsidP="00A2448D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Я  показываю</w:t>
      </w:r>
      <w:r w:rsidR="00A2448D" w:rsidRPr="00A2448D">
        <w:rPr>
          <w:sz w:val="32"/>
          <w:szCs w:val="32"/>
        </w:rPr>
        <w:t xml:space="preserve"> две карточки с числами</w:t>
      </w:r>
    </w:p>
    <w:p w:rsidR="00A2448D" w:rsidRPr="00A2448D" w:rsidRDefault="00074C39" w:rsidP="00A2448D">
      <w:pPr>
        <w:pStyle w:val="a3"/>
        <w:rPr>
          <w:sz w:val="32"/>
          <w:szCs w:val="32"/>
        </w:rPr>
      </w:pPr>
      <w:r>
        <w:rPr>
          <w:sz w:val="32"/>
          <w:szCs w:val="32"/>
        </w:rPr>
        <w:t>и спрашиваю</w:t>
      </w:r>
      <w:r w:rsidR="00A2448D" w:rsidRPr="00A2448D">
        <w:rPr>
          <w:sz w:val="32"/>
          <w:szCs w:val="32"/>
        </w:rPr>
        <w:t>, какие, действия можно выполнить с данными числами? (Сложение и вычитание.) З</w:t>
      </w:r>
      <w:r>
        <w:rPr>
          <w:sz w:val="32"/>
          <w:szCs w:val="32"/>
        </w:rPr>
        <w:t>атем предлагаю</w:t>
      </w:r>
      <w:r w:rsidR="00A2448D" w:rsidRPr="00A2448D">
        <w:rPr>
          <w:sz w:val="32"/>
          <w:szCs w:val="32"/>
        </w:rPr>
        <w:t xml:space="preserve"> задания:</w:t>
      </w:r>
    </w:p>
    <w:p w:rsidR="00A2448D" w:rsidRPr="00A2448D" w:rsidRDefault="00A2448D" w:rsidP="00A2448D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Найди сумму этих чисел.</w:t>
      </w:r>
    </w:p>
    <w:p w:rsidR="00A2448D" w:rsidRPr="00A2448D" w:rsidRDefault="00020740" w:rsidP="00A2448D">
      <w:pPr>
        <w:pStyle w:val="a3"/>
        <w:rPr>
          <w:sz w:val="32"/>
          <w:szCs w:val="32"/>
        </w:rPr>
      </w:pPr>
      <w:r>
        <w:rPr>
          <w:sz w:val="32"/>
          <w:szCs w:val="32"/>
        </w:rPr>
        <w:t>Найди разность этих чисел и т. д.</w:t>
      </w:r>
    </w:p>
    <w:p w:rsidR="00A2448D" w:rsidRPr="00A2448D" w:rsidRDefault="00A2448D" w:rsidP="0057030C">
      <w:pPr>
        <w:pStyle w:val="a3"/>
        <w:rPr>
          <w:sz w:val="32"/>
          <w:szCs w:val="32"/>
        </w:rPr>
      </w:pPr>
      <w:r w:rsidRPr="00A2448D">
        <w:rPr>
          <w:sz w:val="32"/>
          <w:szCs w:val="32"/>
        </w:rPr>
        <w:t>Составь пример. Реши его устно. Какие числа из данных трех чисел могут быть слагаемыми? Сост</w:t>
      </w:r>
      <w:r w:rsidR="00074C39">
        <w:rPr>
          <w:sz w:val="32"/>
          <w:szCs w:val="32"/>
        </w:rPr>
        <w:t>авь примеры. Реши их устно</w:t>
      </w:r>
      <w:proofErr w:type="gramStart"/>
      <w:r w:rsidR="00074C39">
        <w:rPr>
          <w:sz w:val="32"/>
          <w:szCs w:val="32"/>
        </w:rPr>
        <w:t xml:space="preserve"> </w:t>
      </w:r>
      <w:r w:rsidRPr="00A2448D">
        <w:rPr>
          <w:sz w:val="32"/>
          <w:szCs w:val="32"/>
        </w:rPr>
        <w:t>.</w:t>
      </w:r>
      <w:proofErr w:type="gramEnd"/>
      <w:r w:rsidRPr="00A2448D">
        <w:rPr>
          <w:sz w:val="32"/>
          <w:szCs w:val="32"/>
        </w:rPr>
        <w:t xml:space="preserve"> </w:t>
      </w:r>
    </w:p>
    <w:p w:rsidR="00020740" w:rsidRDefault="00E95551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074C39"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повышения эффективности урока использую разнообразные приемы, а так же систему разнообразных средств и методов. Метод обучения выбирается в зависимости от целей урока и от содержания проходимого материала, но при этом обязательным условием является активная работа обучающихся. С этой целью обеспечиваются повторение материала, связанного с изучением новых знаний, четко выделяется познавательный вопрос, который предстоит решить в процессе изучения нового, формирование абстрактных представлений проводится на основе использования конкретных и наглядных восприятий. Это различные средства наглядности, дидактические игры, постановка проблемных вопросов, организация наблюдений, создание психологических условий, организация практического действия каждого ученика и др.</w:t>
      </w:r>
    </w:p>
    <w:p w:rsidR="00020740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 знакомство с преобразованием чисел начинается с замены крупных мер более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мелкими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(5-й класс). Прежде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создать такую ситуацию, в которой учащиеся могли бы убедиться в необходимости этого преобразования. Например, ученику предлагается измерить полоску в дециметр, отрезать от нее полоску длиной в 4 см и ответить на вопросы:</w:t>
      </w:r>
    </w:p>
    <w:p w:rsidR="00020740" w:rsidRPr="00020740" w:rsidRDefault="00074C39" w:rsidP="000207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Какой длины полоска осталась? (6 см) </w:t>
      </w:r>
    </w:p>
    <w:p w:rsidR="00020740" w:rsidRDefault="00074C39" w:rsidP="000207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7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длины полоска была? (1 дм.)</w:t>
      </w:r>
    </w:p>
    <w:p w:rsidR="00020740" w:rsidRDefault="00074C39" w:rsidP="000207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сантиметров отрезали? (4 см.) </w:t>
      </w:r>
    </w:p>
    <w:p w:rsidR="00020740" w:rsidRDefault="00074C39" w:rsidP="000207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7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дается такая: 1 дм — 4 см. </w:t>
      </w:r>
    </w:p>
    <w:p w:rsidR="00074C39" w:rsidRPr="00020740" w:rsidRDefault="00074C39" w:rsidP="0002074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7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1 дм заменить 10 см.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                   Предметом особого внимания является выработка у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навыка самостоятельной работы с учебником.</w:t>
      </w:r>
    </w:p>
    <w:p w:rsidR="00E95551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5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   </w:t>
      </w:r>
      <w:r w:rsidR="00E95551" w:rsidRPr="00E955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Самостоятельная работа с учебником – традиционный приём работы на уроке с первых дней обучения детей в школе. Она проводится как при закреплении, так и при сообщении новых знаний. Формы этой работы различны.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Например,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обучающимся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 классов при изучении темы «Нумерация чисел в пределах 100000»  можно предложить по учебнику заполнить таблицу к заданию № 137 и ответить на вопросы, которые заранее написаны на доске.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На каком месте справа пишутся единицы? 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На каком месте справа пишутся десятки? 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3) На каком месте справа пишутся сотни? и т.д.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Когда учащиеся готовы к ответу, надо предложить им ответить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вопросы с числами, которые даны на доске (1381, 10734, 30260, 124301). На дом учащиеся получают задание снова рассмотреть таблицу классов и разрядов </w:t>
      </w:r>
      <w:r w:rsidR="003C7609">
        <w:rPr>
          <w:rFonts w:ascii="Times New Roman" w:eastAsia="Times New Roman" w:hAnsi="Times New Roman" w:cs="Times New Roman"/>
          <w:sz w:val="32"/>
          <w:szCs w:val="32"/>
          <w:lang w:eastAsia="ru-RU"/>
        </w:rPr>
        <w:t>и заполнить таблицу задания</w:t>
      </w:r>
      <w:proofErr w:type="gramStart"/>
      <w:r w:rsidR="003C7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Изучение некоторых вопросов нужно проводить по учебнику. Самостоятельная работа по учебнику планируется таким образом, чтобы  учащиеся в процессе её выполнения действовали активно, сознательно выполняли поставленные перед ними учебные задачи.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Вот один из примеров организации такой работы. При прохождении в 6 классе темы «Сложение дробей с одинаковыми знаменателями» можно предложить: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Рассмотрите образец (№ 390) и объясните, как выполнено сложение;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б) Пользуясь образцом, выполните сложение самостоятельно.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После выполнения проводится фронтальная проверка работы. Самостоятельная работа по учебнику приучает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мысли, что новые знания можно извлечь из учебника самостоятельно.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Большое значение для развития активности и сознательности учащихся в процессе  выполнения самостоятельной работы имеет использование справочных таблиц. Например, таблицы сложения и умножения, таблицы мер, разрядные сетки для усвоения нумерации многозначных чисел, частные случаи умножения и деления и др. Справочные таблицы обычно висят в классе продолжительное время. Ученик в любой момент может обратиться к ним за справкой.</w:t>
      </w:r>
    </w:p>
    <w:p w:rsidR="00E95551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r w:rsidR="00E95551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При планировании и проведении самостоятельных работ нужно освободить ученика от непроизвольных затрат времени и поэтому надо шире использовать </w:t>
      </w:r>
      <w:proofErr w:type="spell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перфокарточки</w:t>
      </w:r>
      <w:proofErr w:type="spell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задания тестов, среди них есть задания альтернативных ответов, где нужно ответить «да» или «нет», «правильно» или «неправильно». Тестовые задания можно дифференцировать, по уровню сложности, что позволяет учителю осуществлять индивидуальный подход к ученику. Например, на обобщающем уроке по теме «Обыкновенная дробь» предлагаю выполнить тест: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Найдите правильную дробь: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6" type="#_x0000_t75" alt="" style="width:12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7" type="#_x0000_t75" alt="" style="width:17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Найдите неправильную дробь: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8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29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0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Сократите дробь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1" type="#_x0000_t75" alt="" style="width:17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2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3" type="#_x0000_t75" alt="" style="width:11.6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4" type="#_x0000_t75" alt="" style="width:12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Приведите дробь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5" type="#_x0000_t75" alt="" style="width:12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знаменателю 28: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6" type="#_x0000_t75" alt="" style="width:17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7" type="#_x0000_t75" alt="" style="width:17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8" type="#_x0000_t75" alt="" style="width:17.4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Выделите целую часть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39" type="#_x0000_t75" alt="" style="width:15.7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А)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40" type="#_x0000_t75" alt="" style="width:18.2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Б)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41" type="#_x0000_t75" alt="" style="width:18.2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В) </w:t>
      </w:r>
      <w:r w:rsidR="009A62A6" w:rsidRPr="009A62A6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 id="_x0000_i1042" type="#_x0000_t75" alt="" style="width:18.2pt;height:29.8pt"/>
        </w:pict>
      </w: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Как показывает опыт учителей, улучшение организации и формы самостоятельной работы способствует не только повышению уровня навыков учащихся, но и постепенному обучению их приёмам самостоятельного пополнения знаний.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С целью развития интереса к предмету, повышения познавательной активности и познавательной возможностей надо практиковать нетрадиционные и интегрированные уроки.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Нетрадиционные уроки – различного вида комбинированные уроки и интегрированные уроки.         Нетрадиционные уроки необычны по замыслу, организации, методике проведения, на них создаются условия для самостоятельного переноса </w:t>
      </w:r>
      <w:proofErr w:type="gramStart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раннее</w:t>
      </w:r>
      <w:proofErr w:type="gramEnd"/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усвоенных знаний в новую ситуацию. 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Я использую на своих уроках знания учащихся, которые они получают на уроках биологии, истории, географии, труда, изобразительного искусства, на занятиях социально-бытового ориентирования и, даже, их небольшой жизненный опыт. Во время устного счета, при решении арифметических задач по различным темам использую сведения о развитии промышленности, строительства, сельского хозяйства, исторические данные, числовой материал из учебников естествознания, географии, истории.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Например, при  изучении  темы  «Нахождение  части  числа»  на  уроках  решаются  задачи  из  практики  работы  в  швейной  мастерской.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Читаем  условие  задачи, объясняем  непонятные  слова  и  указываем, зачем  необходимы  требуемые  в  задаче  сведения. Затем  следует  решение.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 изучении  темы «Сложение и вычитание чисел полученных при измерении» можно  предложить  учащимся  задачи  из  практической  работы  в  столярной  мастерской.  Например, такие  задачи:</w:t>
      </w:r>
    </w:p>
    <w:p w:rsidR="00074C39" w:rsidRPr="00A11A97" w:rsidRDefault="00074C39" w:rsidP="00074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Ценность таких уроков в объединении разнопредметной информации.</w:t>
      </w:r>
    </w:p>
    <w:p w:rsidR="00074C39" w:rsidRPr="003C7609" w:rsidRDefault="00E1258A" w:rsidP="0057030C">
      <w:pPr>
        <w:pStyle w:val="a3"/>
        <w:rPr>
          <w:sz w:val="32"/>
          <w:szCs w:val="32"/>
        </w:rPr>
      </w:pPr>
      <w:r w:rsidRPr="003C7609">
        <w:rPr>
          <w:sz w:val="32"/>
          <w:szCs w:val="32"/>
        </w:rPr>
        <w:t>Так как познавательная активность учащихс</w:t>
      </w:r>
      <w:proofErr w:type="gramStart"/>
      <w:r w:rsidRPr="003C7609">
        <w:rPr>
          <w:sz w:val="32"/>
          <w:szCs w:val="32"/>
        </w:rPr>
        <w:t>я-</w:t>
      </w:r>
      <w:proofErr w:type="gramEnd"/>
      <w:r w:rsidRPr="003C7609">
        <w:rPr>
          <w:sz w:val="32"/>
          <w:szCs w:val="32"/>
        </w:rPr>
        <w:t xml:space="preserve"> качество не врожденное и не постоянное, оно динамически развивается, может прогрессировать , поэтому на своих уроках выстраиваю отношения сотрудничества, доброжелательности, мотивирую учащихся на успех. Создание игровых ситуаций повышает интерес к предмету, снимает утомление, развивает внимание, сообразительность, чувство соревнования, взаимопомощь.</w:t>
      </w:r>
    </w:p>
    <w:p w:rsidR="003C7609" w:rsidRPr="00A11A97" w:rsidRDefault="003C7609" w:rsidP="003C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в специальной (коррекционной) школе решает одну из важнейших специальных задач – преодоление недостатков познавательной деятельности у детей с ограниченными возможностями здоровья. Поэтому учитель должен найти такие формы, методы и приёмы обучения, которые смогли бы увлечь детей, сделать процесс обучения интересным и результативным. </w:t>
      </w:r>
    </w:p>
    <w:p w:rsidR="003C7609" w:rsidRPr="00A11A97" w:rsidRDefault="003C7609" w:rsidP="003C76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A97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Обучение математике в школе вполне можно и нужно строить так, чтобы оно представлялось для учащегося серией маленьких открытий, по ступенькам которых ум ученика может подняться к высшим обобщениям.</w:t>
      </w:r>
    </w:p>
    <w:p w:rsidR="00A2448D" w:rsidRPr="00A2448D" w:rsidRDefault="00A2448D">
      <w:pPr>
        <w:rPr>
          <w:rFonts w:ascii="Times New Roman" w:hAnsi="Times New Roman" w:cs="Times New Roman"/>
          <w:sz w:val="32"/>
          <w:szCs w:val="32"/>
        </w:rPr>
      </w:pPr>
    </w:p>
    <w:sectPr w:rsidR="00A2448D" w:rsidRPr="00A2448D" w:rsidSect="00B2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E12"/>
    <w:multiLevelType w:val="multilevel"/>
    <w:tmpl w:val="22A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74A67"/>
    <w:multiLevelType w:val="hybridMultilevel"/>
    <w:tmpl w:val="AACE4988"/>
    <w:lvl w:ilvl="0" w:tplc="E57082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448D"/>
    <w:rsid w:val="00020740"/>
    <w:rsid w:val="00074C39"/>
    <w:rsid w:val="000B5CD7"/>
    <w:rsid w:val="002C206A"/>
    <w:rsid w:val="002E2D0D"/>
    <w:rsid w:val="00320043"/>
    <w:rsid w:val="003C7609"/>
    <w:rsid w:val="004858A9"/>
    <w:rsid w:val="00507A7A"/>
    <w:rsid w:val="00535762"/>
    <w:rsid w:val="0057030C"/>
    <w:rsid w:val="006C010C"/>
    <w:rsid w:val="009A62A6"/>
    <w:rsid w:val="00A2448D"/>
    <w:rsid w:val="00A9480A"/>
    <w:rsid w:val="00B225B6"/>
    <w:rsid w:val="00BE4213"/>
    <w:rsid w:val="00C9466D"/>
    <w:rsid w:val="00DD3057"/>
    <w:rsid w:val="00E1258A"/>
    <w:rsid w:val="00E9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030C"/>
  </w:style>
  <w:style w:type="character" w:customStyle="1" w:styleId="c2">
    <w:name w:val="c2"/>
    <w:basedOn w:val="a0"/>
    <w:rsid w:val="0057030C"/>
  </w:style>
  <w:style w:type="paragraph" w:styleId="a4">
    <w:name w:val="List Paragraph"/>
    <w:basedOn w:val="a"/>
    <w:uiPriority w:val="34"/>
    <w:qFormat/>
    <w:rsid w:val="0002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2014-12-14T13:55:00Z</dcterms:created>
  <dcterms:modified xsi:type="dcterms:W3CDTF">2015-06-08T05:10:00Z</dcterms:modified>
</cp:coreProperties>
</file>